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D4681">
      <w:pPr>
        <w:keepNext w:val="0"/>
        <w:pageBreakBefore w:val="0"/>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sz w:val="28"/>
          <w:szCs w:val="28"/>
        </w:rPr>
      </w:pPr>
      <w:r>
        <w:rPr>
          <w:rFonts w:hint="eastAsia" w:ascii="宋体" w:hAnsi="宋体" w:eastAsia="宋体" w:cs="宋体"/>
          <w:b/>
          <w:sz w:val="28"/>
          <w:szCs w:val="28"/>
        </w:rPr>
        <w:t>第</w:t>
      </w:r>
      <w:r>
        <w:rPr>
          <w:rFonts w:hint="eastAsia" w:ascii="宋体" w:hAnsi="宋体" w:eastAsia="宋体" w:cs="宋体"/>
          <w:b/>
          <w:sz w:val="28"/>
          <w:szCs w:val="28"/>
          <w:lang w:val="en-US" w:eastAsia="zh-CN"/>
        </w:rPr>
        <w:t>4</w:t>
      </w:r>
      <w:r>
        <w:rPr>
          <w:rFonts w:hint="eastAsia" w:ascii="宋体" w:hAnsi="宋体" w:eastAsia="宋体" w:cs="宋体"/>
          <w:b/>
          <w:sz w:val="28"/>
          <w:szCs w:val="28"/>
        </w:rPr>
        <w:t>节    运输作用</w:t>
      </w:r>
      <w:bookmarkStart w:id="0" w:name="_GoBack"/>
      <w:bookmarkEnd w:id="0"/>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3589"/>
        <w:gridCol w:w="1549"/>
        <w:gridCol w:w="2902"/>
      </w:tblGrid>
      <w:tr w14:paraId="012B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453" w:type="dxa"/>
            <w:tcBorders>
              <w:top w:val="single" w:color="auto" w:sz="4" w:space="0"/>
              <w:left w:val="single" w:color="auto" w:sz="4" w:space="0"/>
              <w:bottom w:val="single" w:color="auto" w:sz="4" w:space="0"/>
              <w:right w:val="single" w:color="auto" w:sz="4" w:space="0"/>
            </w:tcBorders>
            <w:noWrap w:val="0"/>
            <w:vAlign w:val="center"/>
          </w:tcPr>
          <w:p w14:paraId="25CDDC34">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ascii="宋体" w:hAnsi="宋体" w:eastAsia="宋体" w:cs="宋体"/>
                <w:b/>
                <w:bCs/>
                <w:i w:val="0"/>
                <w:iCs w:val="0"/>
                <w:sz w:val="24"/>
                <w:szCs w:val="24"/>
                <w:lang w:val="en-US" w:eastAsia="zh-CN"/>
              </w:rPr>
              <w:t>题</w:t>
            </w:r>
          </w:p>
        </w:tc>
        <w:tc>
          <w:tcPr>
            <w:tcW w:w="3589" w:type="dxa"/>
            <w:tcBorders>
              <w:top w:val="single" w:color="auto" w:sz="4" w:space="0"/>
              <w:left w:val="nil"/>
              <w:bottom w:val="single" w:color="auto" w:sz="4" w:space="0"/>
              <w:right w:val="single" w:color="auto" w:sz="4" w:space="0"/>
            </w:tcBorders>
            <w:noWrap w:val="0"/>
            <w:vAlign w:val="center"/>
          </w:tcPr>
          <w:p w14:paraId="0FD6D38D">
            <w:pPr>
              <w:pStyle w:val="3"/>
              <w:keepNext w:val="0"/>
              <w:keepLines/>
              <w:pageBreakBefore w:val="0"/>
              <w:kinsoku/>
              <w:wordWrap/>
              <w:overflowPunct/>
              <w:topLinePunct w:val="0"/>
              <w:autoSpaceDE/>
              <w:autoSpaceDN/>
              <w:bidi w:val="0"/>
              <w:adjustRightInd/>
              <w:snapToGrid/>
              <w:spacing w:line="288" w:lineRule="auto"/>
              <w:ind w:left="0" w:leftChars="0" w:firstLine="0" w:firstLineChars="0"/>
              <w:jc w:val="both"/>
              <w:textAlignment w:val="auto"/>
              <w:rPr>
                <w:rFonts w:hint="eastAsia" w:ascii="宋体" w:hAnsi="宋体" w:eastAsia="宋体" w:cs="宋体"/>
                <w:b/>
                <w:bCs/>
                <w:i w:val="0"/>
                <w:iCs w:val="0"/>
                <w:sz w:val="24"/>
                <w:szCs w:val="24"/>
                <w:lang w:val="en-US"/>
              </w:rPr>
            </w:pPr>
          </w:p>
        </w:tc>
        <w:tc>
          <w:tcPr>
            <w:tcW w:w="1549" w:type="dxa"/>
            <w:tcBorders>
              <w:top w:val="single" w:color="auto" w:sz="4" w:space="0"/>
              <w:left w:val="nil"/>
              <w:bottom w:val="single" w:color="auto" w:sz="4" w:space="0"/>
              <w:right w:val="single" w:color="auto" w:sz="4" w:space="0"/>
            </w:tcBorders>
            <w:noWrap w:val="0"/>
            <w:vAlign w:val="center"/>
          </w:tcPr>
          <w:p w14:paraId="06F86202">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授课人</w:t>
            </w:r>
          </w:p>
        </w:tc>
        <w:tc>
          <w:tcPr>
            <w:tcW w:w="2902" w:type="dxa"/>
            <w:tcBorders>
              <w:top w:val="single" w:color="auto" w:sz="4" w:space="0"/>
              <w:left w:val="nil"/>
              <w:bottom w:val="single" w:color="auto" w:sz="4" w:space="0"/>
              <w:right w:val="single" w:color="auto" w:sz="4" w:space="0"/>
            </w:tcBorders>
            <w:noWrap w:val="0"/>
            <w:vAlign w:val="center"/>
          </w:tcPr>
          <w:p w14:paraId="454CA64E">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i w:val="0"/>
                <w:iCs w:val="0"/>
                <w:sz w:val="24"/>
                <w:szCs w:val="24"/>
              </w:rPr>
            </w:pPr>
          </w:p>
        </w:tc>
      </w:tr>
      <w:tr w14:paraId="729B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453" w:type="dxa"/>
            <w:tcBorders>
              <w:top w:val="nil"/>
              <w:left w:val="single" w:color="auto" w:sz="4" w:space="0"/>
              <w:bottom w:val="single" w:color="auto" w:sz="4" w:space="0"/>
              <w:right w:val="single" w:color="auto" w:sz="4" w:space="0"/>
            </w:tcBorders>
            <w:noWrap w:val="0"/>
            <w:vAlign w:val="center"/>
          </w:tcPr>
          <w:p w14:paraId="17283441">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学情分析</w:t>
            </w:r>
          </w:p>
        </w:tc>
        <w:tc>
          <w:tcPr>
            <w:tcW w:w="8040" w:type="dxa"/>
            <w:gridSpan w:val="3"/>
            <w:tcBorders>
              <w:top w:val="single" w:color="auto" w:sz="4" w:space="0"/>
              <w:left w:val="nil"/>
              <w:bottom w:val="single" w:color="auto" w:sz="4" w:space="0"/>
              <w:right w:val="single" w:color="auto" w:sz="4" w:space="0"/>
            </w:tcBorders>
            <w:noWrap w:val="0"/>
            <w:vAlign w:val="center"/>
          </w:tcPr>
          <w:p w14:paraId="24E0A939">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bCs/>
                <w:sz w:val="24"/>
                <w:szCs w:val="24"/>
              </w:rPr>
              <w:t>学生在学习本节内容之前已经学习了植物的 “光合作用”、“呼吸作用”、“吸收作用”，学会和体验了探究性实验的一般科学方法和过程，这些都为本节课的学习做了前提和铺垫，学生可以用已有知识通过分析、讨论来完成此课</w:t>
            </w:r>
            <w:r>
              <w:rPr>
                <w:rFonts w:hint="eastAsia" w:hAnsi="宋体" w:cs="宋体"/>
                <w:bCs/>
                <w:sz w:val="24"/>
                <w:szCs w:val="24"/>
                <w:lang w:eastAsia="zh-CN"/>
              </w:rPr>
              <w:t>。</w:t>
            </w:r>
            <w:r>
              <w:rPr>
                <w:rFonts w:hint="eastAsia" w:ascii="宋体" w:hAnsi="宋体" w:eastAsia="宋体" w:cs="宋体"/>
                <w:sz w:val="24"/>
                <w:szCs w:val="24"/>
              </w:rPr>
              <w:t xml:space="preserve"> </w:t>
            </w:r>
            <w:r>
              <w:rPr>
                <w:rFonts w:hint="eastAsia" w:ascii="宋体" w:hAnsi="宋体" w:eastAsia="宋体" w:cs="宋体"/>
                <w:i w:val="0"/>
                <w:iCs w:val="0"/>
                <w:sz w:val="24"/>
                <w:szCs w:val="24"/>
                <w:lang w:eastAsia="zh-CN"/>
              </w:rPr>
              <w:t>但七年级的学生接触生物不够一年,对实验法还不能熟练运用,有些专业知识尚不能表述得很清楚,需要教师适时引导和补充。</w:t>
            </w:r>
          </w:p>
        </w:tc>
      </w:tr>
      <w:tr w14:paraId="7657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453" w:type="dxa"/>
            <w:tcBorders>
              <w:top w:val="nil"/>
              <w:left w:val="single" w:color="auto" w:sz="4" w:space="0"/>
              <w:bottom w:val="single" w:color="auto" w:sz="4" w:space="0"/>
              <w:right w:val="single" w:color="auto" w:sz="4" w:space="0"/>
            </w:tcBorders>
            <w:noWrap w:val="0"/>
            <w:vAlign w:val="center"/>
          </w:tcPr>
          <w:p w14:paraId="7A1B44BA">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素养目标</w:t>
            </w:r>
          </w:p>
        </w:tc>
        <w:tc>
          <w:tcPr>
            <w:tcW w:w="8040" w:type="dxa"/>
            <w:gridSpan w:val="3"/>
            <w:tcBorders>
              <w:top w:val="single" w:color="auto" w:sz="4" w:space="0"/>
              <w:left w:val="nil"/>
              <w:bottom w:val="single" w:color="auto" w:sz="4" w:space="0"/>
              <w:right w:val="single" w:color="auto" w:sz="4" w:space="0"/>
            </w:tcBorders>
            <w:noWrap w:val="0"/>
            <w:vAlign w:val="center"/>
          </w:tcPr>
          <w:p w14:paraId="6020AB5C">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生命观念:结构与功能观——了解植物茎的结构及其功能；知道植物茎通过导管由下向上运输水和无机盐、通过筛管由上向下运输有机物。</w:t>
            </w:r>
          </w:p>
          <w:p w14:paraId="1430ABAC">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科学思维:观察与归纳----通过观察植物体内“茎对水和无机盐运输”的实验,理解茎运输水和无机盐、有机物。</w:t>
            </w:r>
          </w:p>
          <w:p w14:paraId="19FC2B2C">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探究实践:通过观察植物体内“茎对水和无机盐运输”的实验,培养学生的观察能力和实验能力;通过对观察到的现象和实验结果的讨论和分析得出结论,培养学生的学习能力和思维能力。</w:t>
            </w:r>
          </w:p>
          <w:p w14:paraId="4B264F1F">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态度责任:体会植物体是一个统一的整体。通过了解茎的运输作用,使学生懂得保护树皮的重要意义,并使之产生爱护树木,热爱生命、保护环境的情感。</w:t>
            </w:r>
          </w:p>
        </w:tc>
      </w:tr>
      <w:tr w14:paraId="08AD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453" w:type="dxa"/>
            <w:tcBorders>
              <w:top w:val="single" w:color="auto" w:sz="4" w:space="0"/>
              <w:left w:val="single" w:color="auto" w:sz="4" w:space="0"/>
              <w:bottom w:val="single" w:color="auto" w:sz="4" w:space="0"/>
              <w:right w:val="single" w:color="auto" w:sz="4" w:space="0"/>
            </w:tcBorders>
            <w:noWrap w:val="0"/>
            <w:vAlign w:val="center"/>
          </w:tcPr>
          <w:p w14:paraId="7D4FF116">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教学重点</w:t>
            </w:r>
          </w:p>
        </w:tc>
        <w:tc>
          <w:tcPr>
            <w:tcW w:w="8040" w:type="dxa"/>
            <w:gridSpan w:val="3"/>
            <w:tcBorders>
              <w:top w:val="single" w:color="auto" w:sz="4" w:space="0"/>
              <w:left w:val="nil"/>
              <w:bottom w:val="single" w:color="auto" w:sz="4" w:space="0"/>
              <w:right w:val="single" w:color="auto" w:sz="4" w:space="0"/>
            </w:tcBorders>
            <w:noWrap w:val="0"/>
            <w:vAlign w:val="center"/>
          </w:tcPr>
          <w:p w14:paraId="568430B5">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水分和无机盐的运输及结构基础</w:t>
            </w:r>
            <w:r>
              <w:rPr>
                <w:rFonts w:hint="eastAsia" w:ascii="宋体" w:hAnsi="宋体" w:eastAsia="宋体" w:cs="宋体"/>
                <w:sz w:val="24"/>
                <w:szCs w:val="24"/>
                <w:lang w:eastAsia="zh-CN"/>
              </w:rPr>
              <w:t>。</w:t>
            </w:r>
          </w:p>
          <w:p w14:paraId="548E97BD">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有机物的运输及结构基础。</w:t>
            </w:r>
          </w:p>
        </w:tc>
      </w:tr>
      <w:tr w14:paraId="5A4E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453" w:type="dxa"/>
            <w:tcBorders>
              <w:top w:val="single" w:color="auto" w:sz="4" w:space="0"/>
              <w:left w:val="single" w:color="auto" w:sz="4" w:space="0"/>
              <w:bottom w:val="single" w:color="auto" w:sz="4" w:space="0"/>
              <w:right w:val="single" w:color="auto" w:sz="4" w:space="0"/>
            </w:tcBorders>
            <w:noWrap w:val="0"/>
            <w:vAlign w:val="center"/>
          </w:tcPr>
          <w:p w14:paraId="1222DD7E">
            <w:pPr>
              <w:pStyle w:val="3"/>
              <w:keepNext w:val="0"/>
              <w:keepLines/>
              <w:pageBreakBefore w:val="0"/>
              <w:kinsoku/>
              <w:wordWrap/>
              <w:overflowPunct/>
              <w:topLinePunct w:val="0"/>
              <w:autoSpaceDE/>
              <w:autoSpaceDN/>
              <w:bidi w:val="0"/>
              <w:adjustRightInd/>
              <w:snapToGrid/>
              <w:spacing w:beforeAutospacing="0" w:afterAutospacing="0" w:line="288" w:lineRule="auto"/>
              <w:ind w:left="0" w:lef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教学难点</w:t>
            </w:r>
          </w:p>
        </w:tc>
        <w:tc>
          <w:tcPr>
            <w:tcW w:w="8040" w:type="dxa"/>
            <w:gridSpan w:val="3"/>
            <w:tcBorders>
              <w:top w:val="single" w:color="auto" w:sz="4" w:space="0"/>
              <w:left w:val="nil"/>
              <w:bottom w:val="single" w:color="auto" w:sz="4" w:space="0"/>
              <w:right w:val="single" w:color="auto" w:sz="4" w:space="0"/>
            </w:tcBorders>
            <w:noWrap w:val="0"/>
            <w:vAlign w:val="center"/>
          </w:tcPr>
          <w:p w14:paraId="69166E64">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观察茎对水和无机盐的运输</w:t>
            </w:r>
            <w:r>
              <w:rPr>
                <w:rFonts w:hint="eastAsia" w:ascii="宋体" w:hAnsi="宋体" w:eastAsia="宋体" w:cs="宋体"/>
                <w:sz w:val="24"/>
                <w:szCs w:val="24"/>
                <w:lang w:eastAsia="zh-CN"/>
              </w:rPr>
              <w:t>。</w:t>
            </w:r>
          </w:p>
          <w:p w14:paraId="6203E4EA">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导管和筛管</w:t>
            </w:r>
            <w:r>
              <w:rPr>
                <w:rFonts w:hint="eastAsia" w:ascii="宋体" w:hAnsi="宋体" w:eastAsia="宋体" w:cs="宋体"/>
                <w:sz w:val="24"/>
                <w:szCs w:val="24"/>
                <w:lang w:val="en-US" w:eastAsia="zh-CN"/>
              </w:rPr>
              <w:t>的结构和功能。</w:t>
            </w:r>
          </w:p>
        </w:tc>
      </w:tr>
    </w:tbl>
    <w:p w14:paraId="6829DB76">
      <w:pPr>
        <w:pStyle w:val="10"/>
        <w:keepNext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4895"/>
        <w:gridCol w:w="3194"/>
      </w:tblGrid>
      <w:tr w14:paraId="12A8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noWrap w:val="0"/>
            <w:vAlign w:val="top"/>
          </w:tcPr>
          <w:p w14:paraId="05704BFA">
            <w:pPr>
              <w:keepNext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教学阶段</w:t>
            </w:r>
          </w:p>
        </w:tc>
        <w:tc>
          <w:tcPr>
            <w:tcW w:w="4895" w:type="dxa"/>
            <w:noWrap w:val="0"/>
            <w:vAlign w:val="top"/>
          </w:tcPr>
          <w:p w14:paraId="7D76F55F">
            <w:pPr>
              <w:keepNext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教师活动</w:t>
            </w:r>
          </w:p>
        </w:tc>
        <w:tc>
          <w:tcPr>
            <w:tcW w:w="3194" w:type="dxa"/>
            <w:noWrap w:val="0"/>
            <w:vAlign w:val="top"/>
          </w:tcPr>
          <w:p w14:paraId="5741EDBA">
            <w:pPr>
              <w:keepNext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学生活动</w:t>
            </w:r>
          </w:p>
        </w:tc>
      </w:tr>
      <w:tr w14:paraId="761C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noWrap w:val="0"/>
            <w:vAlign w:val="top"/>
          </w:tcPr>
          <w:p w14:paraId="1912BB21">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14:paraId="55E5ADE8">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课程</w:t>
            </w:r>
            <w:r>
              <w:rPr>
                <w:rFonts w:hint="eastAsia" w:ascii="宋体" w:hAnsi="宋体" w:eastAsia="宋体" w:cs="宋体"/>
                <w:b/>
                <w:bCs/>
                <w:color w:val="000000" w:themeColor="text1"/>
                <w:sz w:val="24"/>
                <w:szCs w:val="24"/>
                <w14:textFill>
                  <w14:solidFill>
                    <w14:schemeClr w14:val="tx1"/>
                  </w14:solidFill>
                </w14:textFill>
              </w:rPr>
              <w:t>导入</w:t>
            </w:r>
          </w:p>
        </w:tc>
        <w:tc>
          <w:tcPr>
            <w:tcW w:w="4895" w:type="dxa"/>
            <w:noWrap w:val="0"/>
            <w:vAlign w:val="top"/>
          </w:tcPr>
          <w:p w14:paraId="56DF87E3">
            <w:pPr>
              <w:keepNext w:val="0"/>
              <w:pageBreakBefore w:val="0"/>
              <w:widowControl/>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小品《茎的罢工》</w:t>
            </w:r>
          </w:p>
          <w:p w14:paraId="484B1098">
            <w:pPr>
              <w:keepNext w:val="0"/>
              <w:pageBreakBefore w:val="0"/>
              <w:widowControl/>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神气的叶说：“大家好！我是植物的叶。没有我，你们都会饿死。”</w:t>
            </w:r>
          </w:p>
          <w:p w14:paraId="4AA34757">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傲气的根说：“大家好！我是植物的根。我要是不工作，你们都会渴死的。”</w:t>
            </w:r>
          </w:p>
          <w:p w14:paraId="6F1034CF">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于是，一直沉默不语的茎开始罢工。</w:t>
            </w:r>
          </w:p>
          <w:p w14:paraId="56F1A473">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萎蔫的叶说：“快给我水！我要渴死了！”</w:t>
            </w:r>
          </w:p>
          <w:p w14:paraId="222EE30F">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饥饿的根说：“我太饿了，哪儿有吃的？”</w:t>
            </w:r>
          </w:p>
        </w:tc>
        <w:tc>
          <w:tcPr>
            <w:tcW w:w="3194" w:type="dxa"/>
            <w:noWrap w:val="0"/>
            <w:vAlign w:val="top"/>
          </w:tcPr>
          <w:p w14:paraId="1B8EF4F7">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14:textFill>
                  <w14:solidFill>
                    <w14:schemeClr w14:val="tx1"/>
                  </w14:solidFill>
                </w14:textFill>
              </w:rPr>
            </w:pPr>
          </w:p>
          <w:p w14:paraId="4C053A81">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2BF219C5">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学生表演</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学生回答。</w:t>
            </w:r>
          </w:p>
        </w:tc>
      </w:tr>
      <w:tr w14:paraId="111F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339" w:type="dxa"/>
            <w:noWrap w:val="0"/>
            <w:vAlign w:val="top"/>
          </w:tcPr>
          <w:p w14:paraId="00C6B8C6">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14:textFill>
                  <w14:solidFill>
                    <w14:schemeClr w14:val="tx1"/>
                  </w14:solidFill>
                </w14:textFill>
              </w:rPr>
            </w:pPr>
          </w:p>
          <w:p w14:paraId="4E149C9E">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新课展开</w:t>
            </w:r>
          </w:p>
        </w:tc>
        <w:tc>
          <w:tcPr>
            <w:tcW w:w="4895" w:type="dxa"/>
            <w:noWrap w:val="0"/>
            <w:vAlign w:val="top"/>
          </w:tcPr>
          <w:p w14:paraId="20E9C6C3">
            <w:pPr>
              <w:pStyle w:val="3"/>
              <w:keepNext w:val="0"/>
              <w:pageBreakBefore w:val="0"/>
              <w:kinsoku/>
              <w:wordWrap/>
              <w:overflowPunct/>
              <w:topLinePunct w:val="0"/>
              <w:autoSpaceDE/>
              <w:autoSpaceDN/>
              <w:bidi w:val="0"/>
              <w:adjustRightInd/>
              <w:snapToGrid/>
              <w:spacing w:line="288" w:lineRule="auto"/>
              <w:ind w:left="0" w:leftChars="0" w:firstLine="0" w:firstLineChars="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 xml:space="preserve">活动一   </w:t>
            </w:r>
            <w:r>
              <w:rPr>
                <w:rFonts w:hint="eastAsia" w:ascii="宋体" w:hAnsi="宋体" w:eastAsia="宋体" w:cs="宋体"/>
                <w:b/>
                <w:bCs/>
                <w:color w:val="000000" w:themeColor="text1"/>
                <w:sz w:val="24"/>
                <w:szCs w:val="24"/>
                <w14:textFill>
                  <w14:solidFill>
                    <w14:schemeClr w14:val="tx1"/>
                  </w14:solidFill>
                </w14:textFill>
              </w:rPr>
              <w:t>水和无机盐在木质部中的运输</w:t>
            </w:r>
          </w:p>
          <w:p w14:paraId="6885639E">
            <w:pPr>
              <w:keepNext w:val="0"/>
              <w:pageBreakBefore w:val="0"/>
              <w:kinsoku/>
              <w:wordWrap/>
              <w:overflowPunct/>
              <w:topLinePunct w:val="0"/>
              <w:autoSpaceDE/>
              <w:autoSpaceDN/>
              <w:bidi w:val="0"/>
              <w:adjustRightInd/>
              <w:snapToGrid/>
              <w:spacing w:line="288" w:lineRule="auto"/>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根与叶是通过茎来连接，那么茎是如何运输水和无机盐的呢？我们通过实验来验证</w:t>
            </w:r>
          </w:p>
          <w:p w14:paraId="4BA2D2EC">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[课件展示]</w:t>
            </w:r>
            <w:r>
              <w:rPr>
                <w:rFonts w:hint="eastAsia" w:ascii="宋体" w:hAnsi="宋体" w:eastAsia="宋体" w:cs="宋体"/>
                <w:color w:val="000000" w:themeColor="text1"/>
                <w:sz w:val="24"/>
                <w:szCs w:val="24"/>
                <w14:textFill>
                  <w14:solidFill>
                    <w14:schemeClr w14:val="tx1"/>
                  </w14:solidFill>
                </w14:textFill>
              </w:rPr>
              <w:t>小实验1号带叶的枝条插入清水中；2号带叶的枝条插入红墨水中；3号带叶的</w:t>
            </w:r>
            <w:r>
              <w:rPr>
                <w:rFonts w:hint="eastAsia" w:ascii="宋体" w:hAnsi="宋体" w:eastAsia="宋体" w:cs="宋体"/>
                <w:b w:val="0"/>
                <w:bCs/>
                <w:color w:val="000000" w:themeColor="text1"/>
                <w:sz w:val="24"/>
                <w:szCs w:val="24"/>
                <w14:textFill>
                  <w14:solidFill>
                    <w14:schemeClr w14:val="tx1"/>
                  </w14:solidFill>
                </w14:textFill>
              </w:rPr>
              <w:t>剥掉树皮</w:t>
            </w:r>
            <w:r>
              <w:rPr>
                <w:rFonts w:hint="eastAsia" w:ascii="宋体" w:hAnsi="宋体" w:eastAsia="宋体" w:cs="宋体"/>
                <w:color w:val="000000" w:themeColor="text1"/>
                <w:sz w:val="24"/>
                <w:szCs w:val="24"/>
                <w14:textFill>
                  <w14:solidFill>
                    <w14:schemeClr w14:val="tx1"/>
                  </w14:solidFill>
                </w14:textFill>
              </w:rPr>
              <w:t>枝条插入红墨水中</w:t>
            </w:r>
            <w:r>
              <w:rPr>
                <w:rFonts w:hint="eastAsia" w:ascii="宋体" w:hAnsi="宋体" w:eastAsia="宋体" w:cs="宋体"/>
                <w:color w:val="000000" w:themeColor="text1"/>
                <w:sz w:val="24"/>
                <w:szCs w:val="24"/>
                <w:lang w:eastAsia="zh-CN"/>
                <w14:textFill>
                  <w14:solidFill>
                    <w14:schemeClr w14:val="tx1"/>
                  </w14:solidFill>
                </w14:textFill>
              </w:rPr>
              <w:t>。</w:t>
            </w:r>
          </w:p>
          <w:p w14:paraId="71BA8A26">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学生对比观察，教师提问：1号2号和3号瓶中叶片颜色请描述</w:t>
            </w:r>
            <w:r>
              <w:rPr>
                <w:rFonts w:hint="eastAsia" w:ascii="宋体" w:hAnsi="宋体" w:eastAsia="宋体" w:cs="宋体"/>
                <w:color w:val="000000" w:themeColor="text1"/>
                <w:sz w:val="24"/>
                <w:szCs w:val="24"/>
                <w:lang w:eastAsia="zh-CN"/>
                <w14:textFill>
                  <w14:solidFill>
                    <w14:schemeClr w14:val="tx1"/>
                  </w14:solidFill>
                </w14:textFill>
              </w:rPr>
              <w:t>。</w:t>
            </w:r>
          </w:p>
          <w:p w14:paraId="10AB7E07">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学生回答并对比树皮的作用</w:t>
            </w:r>
            <w:r>
              <w:rPr>
                <w:rFonts w:hint="eastAsia" w:ascii="宋体" w:hAnsi="宋体" w:eastAsia="宋体" w:cs="宋体"/>
                <w:color w:val="000000" w:themeColor="text1"/>
                <w:sz w:val="24"/>
                <w:szCs w:val="24"/>
                <w:lang w:eastAsia="zh-CN"/>
                <w14:textFill>
                  <w14:solidFill>
                    <w14:schemeClr w14:val="tx1"/>
                  </w14:solidFill>
                </w14:textFill>
              </w:rPr>
              <w:t>。</w:t>
            </w:r>
          </w:p>
          <w:p w14:paraId="1AFEDFDA">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推断</w:t>
            </w:r>
            <w:r>
              <w:rPr>
                <w:rFonts w:hint="eastAsia" w:ascii="宋体" w:hAnsi="宋体" w:eastAsia="宋体" w:cs="宋体"/>
                <w:color w:val="000000" w:themeColor="text1"/>
                <w:sz w:val="24"/>
                <w:szCs w:val="24"/>
                <w:lang w:val="en-US" w:eastAsia="zh-CN"/>
                <w14:textFill>
                  <w14:solidFill>
                    <w14:schemeClr w14:val="tx1"/>
                  </w14:solidFill>
                </w14:textFill>
              </w:rPr>
              <w:t>结论</w:t>
            </w:r>
            <w:r>
              <w:rPr>
                <w:rFonts w:hint="eastAsia" w:ascii="宋体" w:hAnsi="宋体" w:eastAsia="宋体" w:cs="宋体"/>
                <w:color w:val="000000" w:themeColor="text1"/>
                <w:sz w:val="24"/>
                <w:szCs w:val="24"/>
                <w14:textFill>
                  <w14:solidFill>
                    <w14:schemeClr w14:val="tx1"/>
                  </w14:solidFill>
                </w14:textFill>
              </w:rPr>
              <w:t>：树皮不影响水和无机盐的运输</w:t>
            </w:r>
            <w:r>
              <w:rPr>
                <w:rFonts w:hint="eastAsia" w:ascii="宋体" w:hAnsi="宋体" w:eastAsia="宋体" w:cs="宋体"/>
                <w:color w:val="000000" w:themeColor="text1"/>
                <w:sz w:val="24"/>
                <w:szCs w:val="24"/>
                <w:lang w:eastAsia="zh-CN"/>
                <w14:textFill>
                  <w14:solidFill>
                    <w14:schemeClr w14:val="tx1"/>
                  </w14:solidFill>
                </w14:textFill>
              </w:rPr>
              <w:t>。</w:t>
            </w:r>
          </w:p>
          <w:p w14:paraId="00D1A35F">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 xml:space="preserve"> [课件展示]</w:t>
            </w:r>
            <w:r>
              <w:rPr>
                <w:rFonts w:hint="eastAsia" w:ascii="宋体" w:hAnsi="宋体" w:eastAsia="宋体" w:cs="宋体"/>
                <w:color w:val="000000" w:themeColor="text1"/>
                <w:sz w:val="24"/>
                <w:szCs w:val="24"/>
                <w14:textFill>
                  <w14:solidFill>
                    <w14:schemeClr w14:val="tx1"/>
                  </w14:solidFill>
                </w14:textFill>
              </w:rPr>
              <w:t>对比观察茎横切和纵切颜色变化</w:t>
            </w:r>
            <w:r>
              <w:rPr>
                <w:rFonts w:hint="eastAsia" w:ascii="宋体" w:hAnsi="宋体" w:eastAsia="宋体" w:cs="宋体"/>
                <w:color w:val="000000" w:themeColor="text1"/>
                <w:sz w:val="24"/>
                <w:szCs w:val="24"/>
                <w:lang w:eastAsia="zh-CN"/>
                <w14:textFill>
                  <w14:solidFill>
                    <w14:schemeClr w14:val="tx1"/>
                  </w14:solidFill>
                </w14:textFill>
              </w:rPr>
              <w:t>。</w:t>
            </w:r>
          </w:p>
          <w:p w14:paraId="70911AF4">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小组讨论</w:t>
            </w:r>
            <w:r>
              <w:rPr>
                <w:rFonts w:hint="eastAsia" w:ascii="宋体" w:hAnsi="宋体" w:eastAsia="宋体" w:cs="宋体"/>
                <w:color w:val="000000" w:themeColor="text1"/>
                <w:sz w:val="24"/>
                <w:szCs w:val="24"/>
                <w:lang w:eastAsia="zh-CN"/>
                <w14:textFill>
                  <w14:solidFill>
                    <w14:schemeClr w14:val="tx1"/>
                  </w14:solidFill>
                </w14:textFill>
              </w:rPr>
              <w:t>】</w:t>
            </w:r>
          </w:p>
          <w:p w14:paraId="2CCD4C17">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w:t>
            </w:r>
            <w:r>
              <w:rPr>
                <w:rFonts w:hint="eastAsia" w:ascii="宋体" w:hAnsi="宋体" w:eastAsia="宋体" w:cs="宋体"/>
                <w:bCs/>
                <w:color w:val="000000" w:themeColor="text1"/>
                <w:sz w:val="24"/>
                <w:szCs w:val="24"/>
                <w:lang w:val="en-US"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茎内部分结构被染成红色的事实说明什么问题？</w:t>
            </w:r>
          </w:p>
          <w:p w14:paraId="3C30E462">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w:t>
            </w:r>
            <w:r>
              <w:rPr>
                <w:rFonts w:hint="eastAsia" w:ascii="宋体" w:hAnsi="宋体" w:eastAsia="宋体" w:cs="宋体"/>
                <w:bCs/>
                <w:color w:val="000000" w:themeColor="text1"/>
                <w:sz w:val="24"/>
                <w:szCs w:val="24"/>
                <w:lang w:val="en-US"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说出水分从瓶中到达叶的运输途径。</w:t>
            </w:r>
          </w:p>
          <w:p w14:paraId="112E4307">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教师黑板完成板书的框架，巡视并个别小组指导</w:t>
            </w:r>
            <w:r>
              <w:rPr>
                <w:rFonts w:hint="eastAsia" w:ascii="宋体" w:hAnsi="宋体" w:eastAsia="宋体" w:cs="宋体"/>
                <w:color w:val="000000" w:themeColor="text1"/>
                <w:sz w:val="24"/>
                <w:szCs w:val="24"/>
                <w:lang w:eastAsia="zh-CN"/>
                <w14:textFill>
                  <w14:solidFill>
                    <w14:schemeClr w14:val="tx1"/>
                  </w14:solidFill>
                </w14:textFill>
              </w:rPr>
              <w:t>。</w:t>
            </w:r>
          </w:p>
          <w:p w14:paraId="7CBF190F">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小组代表与全班同学交流讨论结果</w:t>
            </w:r>
            <w:r>
              <w:rPr>
                <w:rFonts w:hint="eastAsia" w:ascii="宋体" w:hAnsi="宋体" w:eastAsia="宋体" w:cs="宋体"/>
                <w:color w:val="000000" w:themeColor="text1"/>
                <w:sz w:val="24"/>
                <w:szCs w:val="24"/>
                <w:lang w:eastAsia="zh-CN"/>
                <w14:textFill>
                  <w14:solidFill>
                    <w14:schemeClr w14:val="tx1"/>
                  </w14:solidFill>
                </w14:textFill>
              </w:rPr>
              <w:t>。</w:t>
            </w:r>
          </w:p>
          <w:p w14:paraId="7095A5CD">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[知识拓展]</w:t>
            </w:r>
            <w:r>
              <w:rPr>
                <w:rFonts w:hint="eastAsia" w:ascii="宋体" w:hAnsi="宋体" w:eastAsia="宋体" w:cs="宋体"/>
                <w:color w:val="000000" w:themeColor="text1"/>
                <w:sz w:val="24"/>
                <w:szCs w:val="24"/>
                <w14:textFill>
                  <w14:solidFill>
                    <w14:schemeClr w14:val="tx1"/>
                  </w14:solidFill>
                </w14:textFill>
              </w:rPr>
              <w:t xml:space="preserve"> 给植物输液。</w:t>
            </w:r>
          </w:p>
          <w:p w14:paraId="000480FC">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 xml:space="preserve">活动二  </w:t>
            </w:r>
            <w:r>
              <w:rPr>
                <w:rFonts w:hint="eastAsia" w:ascii="宋体" w:hAnsi="宋体" w:eastAsia="宋体" w:cs="宋体"/>
                <w:b/>
                <w:bCs/>
                <w:color w:val="000000" w:themeColor="text1"/>
                <w:sz w:val="24"/>
                <w:szCs w:val="24"/>
                <w14:textFill>
                  <w14:solidFill>
                    <w14:schemeClr w14:val="tx1"/>
                  </w14:solidFill>
                </w14:textFill>
              </w:rPr>
              <w:t>有机物在韧皮部中的运输</w:t>
            </w:r>
          </w:p>
          <w:p w14:paraId="300E33CD">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[课件展示]</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木本植物的枝条中部剥除一圈树皮，一段时间后发生变化。</w:t>
            </w:r>
          </w:p>
          <w:p w14:paraId="07CBEF10">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学生观察并分析：</w:t>
            </w:r>
          </w:p>
          <w:p w14:paraId="0542AC16">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w:t>
            </w:r>
            <w:r>
              <w:rPr>
                <w:rFonts w:hint="eastAsia" w:ascii="宋体" w:hAnsi="宋体" w:eastAsia="宋体" w:cs="宋体"/>
                <w:bCs/>
                <w:color w:val="000000" w:themeColor="text1"/>
                <w:sz w:val="24"/>
                <w:szCs w:val="24"/>
                <w:lang w:val="en-US"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描述切口上方和下方的形态变化。</w:t>
            </w:r>
          </w:p>
          <w:p w14:paraId="5558DCA5">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w:t>
            </w:r>
            <w:r>
              <w:rPr>
                <w:rFonts w:hint="eastAsia" w:ascii="宋体" w:hAnsi="宋体" w:eastAsia="宋体" w:cs="宋体"/>
                <w:bCs/>
                <w:color w:val="000000" w:themeColor="text1"/>
                <w:sz w:val="24"/>
                <w:szCs w:val="24"/>
                <w:lang w:val="en-US"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试解释切口上方形成瘤状物的原因</w:t>
            </w:r>
            <w:r>
              <w:rPr>
                <w:rFonts w:hint="eastAsia" w:ascii="宋体" w:hAnsi="宋体" w:eastAsia="宋体" w:cs="宋体"/>
                <w:color w:val="000000" w:themeColor="text1"/>
                <w:sz w:val="24"/>
                <w:szCs w:val="24"/>
                <w14:textFill>
                  <w14:solidFill>
                    <w14:schemeClr w14:val="tx1"/>
                  </w14:solidFill>
                </w14:textFill>
              </w:rPr>
              <w:t>。</w:t>
            </w:r>
          </w:p>
          <w:p w14:paraId="6E533D76">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w:t>
            </w:r>
            <w:r>
              <w:rPr>
                <w:rFonts w:hint="eastAsia" w:ascii="宋体" w:hAnsi="宋体" w:eastAsia="宋体" w:cs="宋体"/>
                <w:bCs/>
                <w:color w:val="000000" w:themeColor="text1"/>
                <w:sz w:val="24"/>
                <w:szCs w:val="24"/>
                <w:lang w:val="en-US"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根据上述实验结果推断茎运输有机物的部位及方向。</w:t>
            </w:r>
          </w:p>
          <w:p w14:paraId="62F32F98">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小组代表发言后，教师总结引出有机物在韧皮部中运输</w:t>
            </w:r>
          </w:p>
          <w:p w14:paraId="02E5319B">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[知识拓展]</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果农为了增产常将结果的枝条剥去一圈树皮，称为环剥，这是为什么？</w:t>
            </w:r>
          </w:p>
          <w:p w14:paraId="5CF30252">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同学们尝试用所学知识帮果农解决问题</w:t>
            </w:r>
            <w:r>
              <w:rPr>
                <w:rFonts w:hint="eastAsia" w:ascii="宋体" w:hAnsi="宋体" w:eastAsia="宋体" w:cs="宋体"/>
                <w:bCs/>
                <w:color w:val="000000" w:themeColor="text1"/>
                <w:sz w:val="24"/>
                <w:szCs w:val="24"/>
                <w:lang w:eastAsia="zh-CN"/>
                <w14:textFill>
                  <w14:solidFill>
                    <w14:schemeClr w14:val="tx1"/>
                  </w14:solidFill>
                </w14:textFill>
              </w:rPr>
              <w:t>。</w:t>
            </w:r>
          </w:p>
          <w:p w14:paraId="1DD2505A">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活动三  导管和筛管</w:t>
            </w:r>
          </w:p>
          <w:p w14:paraId="3F8F0A91">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木质部中的导管</w:t>
            </w:r>
          </w:p>
          <w:p w14:paraId="1A9A4AD9">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color w:val="000000" w:themeColor="text1"/>
                <w:sz w:val="24"/>
                <w:szCs w:val="24"/>
                <w:lang w:val="en-US" w:eastAsia="zh-CN"/>
                <w14:textFill>
                  <w14:solidFill>
                    <w14:schemeClr w14:val="tx1"/>
                  </w14:solidFill>
                </w14:textFill>
              </w:rPr>
              <w:t>自主预习</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学生自学课本9</w:t>
            </w: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页</w:t>
            </w:r>
            <w:r>
              <w:rPr>
                <w:rFonts w:hint="eastAsia" w:ascii="宋体" w:hAnsi="宋体" w:eastAsia="宋体" w:cs="宋体"/>
                <w:color w:val="000000" w:themeColor="text1"/>
                <w:sz w:val="24"/>
                <w:szCs w:val="24"/>
                <w:lang w:val="en-US" w:eastAsia="zh-CN"/>
                <w14:textFill>
                  <w14:solidFill>
                    <w14:schemeClr w14:val="tx1"/>
                  </w14:solidFill>
                </w14:textFill>
              </w:rPr>
              <w:t>内容</w:t>
            </w:r>
            <w:r>
              <w:rPr>
                <w:rFonts w:hint="eastAsia" w:ascii="宋体" w:hAnsi="宋体" w:eastAsia="宋体" w:cs="宋体"/>
                <w:color w:val="000000" w:themeColor="text1"/>
                <w:sz w:val="24"/>
                <w:szCs w:val="24"/>
                <w:lang w:eastAsia="zh-CN"/>
                <w14:textFill>
                  <w14:solidFill>
                    <w14:schemeClr w14:val="tx1"/>
                  </w14:solidFill>
                </w14:textFill>
              </w:rPr>
              <w:t>。</w:t>
            </w:r>
          </w:p>
          <w:p w14:paraId="3F4CFDB1">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color w:val="000000" w:themeColor="text1"/>
                <w:sz w:val="24"/>
                <w:szCs w:val="24"/>
                <w:lang w:val="en-US" w:eastAsia="zh-CN"/>
                <w14:textFill>
                  <w14:solidFill>
                    <w14:schemeClr w14:val="tx1"/>
                  </w14:solidFill>
                </w14:textFill>
              </w:rPr>
              <w:t>课件展示</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val="0"/>
                <w:bCs/>
                <w:color w:val="000000" w:themeColor="text1"/>
                <w:sz w:val="24"/>
                <w:szCs w:val="24"/>
                <w:lang w:val="en-US" w:eastAsia="zh-CN"/>
                <w14:textFill>
                  <w14:solidFill>
                    <w14:schemeClr w14:val="tx1"/>
                  </w14:solidFill>
                </w14:textFill>
              </w:rPr>
              <w:t>展示</w:t>
            </w:r>
            <w:r>
              <w:rPr>
                <w:rFonts w:hint="eastAsia" w:ascii="宋体" w:hAnsi="宋体" w:eastAsia="宋体" w:cs="宋体"/>
                <w:b w:val="0"/>
                <w:bCs/>
                <w:color w:val="000000" w:themeColor="text1"/>
                <w:sz w:val="24"/>
                <w:szCs w:val="24"/>
                <w14:textFill>
                  <w14:solidFill>
                    <w14:schemeClr w14:val="tx1"/>
                  </w14:solidFill>
                </w14:textFill>
              </w:rPr>
              <w:t>木质部横切的细胞结构图和各种导管</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韧皮部横切的细胞结构图和筛管</w:t>
            </w:r>
            <w:r>
              <w:rPr>
                <w:rFonts w:hint="eastAsia" w:ascii="宋体" w:hAnsi="宋体" w:eastAsia="宋体" w:cs="宋体"/>
                <w:color w:val="000000" w:themeColor="text1"/>
                <w:sz w:val="24"/>
                <w:szCs w:val="24"/>
                <w:lang w:eastAsia="zh-CN"/>
                <w14:textFill>
                  <w14:solidFill>
                    <w14:schemeClr w14:val="tx1"/>
                  </w14:solidFill>
                </w14:textFill>
              </w:rPr>
              <w:t>。</w:t>
            </w:r>
          </w:p>
          <w:p w14:paraId="06BF99C2">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完成以下表格：</w:t>
            </w:r>
          </w:p>
          <w:tbl>
            <w:tblPr>
              <w:tblStyle w:val="7"/>
              <w:tblW w:w="3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722"/>
              <w:gridCol w:w="722"/>
              <w:gridCol w:w="722"/>
              <w:gridCol w:w="722"/>
            </w:tblGrid>
            <w:tr w14:paraId="6F9B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shd w:val="clear" w:color="auto" w:fill="auto"/>
                  <w:vAlign w:val="center"/>
                </w:tcPr>
                <w:p w14:paraId="50EB0896">
                  <w:pPr>
                    <w:pStyle w:val="3"/>
                    <w:jc w:val="center"/>
                    <w:rPr>
                      <w:rFonts w:hint="eastAsia" w:ascii="宋体" w:hAnsi="宋体" w:eastAsia="宋体" w:cs="宋体"/>
                      <w:color w:val="000000" w:themeColor="text1"/>
                      <w:sz w:val="24"/>
                      <w:szCs w:val="24"/>
                      <w14:textFill>
                        <w14:solidFill>
                          <w14:schemeClr w14:val="tx1"/>
                        </w14:solidFill>
                      </w14:textFill>
                    </w:rPr>
                  </w:pPr>
                </w:p>
              </w:tc>
              <w:tc>
                <w:tcPr>
                  <w:tcW w:w="1236" w:type="dxa"/>
                  <w:shd w:val="clear" w:color="auto" w:fill="auto"/>
                  <w:vAlign w:val="center"/>
                </w:tcPr>
                <w:p w14:paraId="1C2FEEEE">
                  <w:pPr>
                    <w:pStyle w:val="3"/>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所在部位</w:t>
                  </w:r>
                </w:p>
              </w:tc>
              <w:tc>
                <w:tcPr>
                  <w:tcW w:w="1236" w:type="dxa"/>
                  <w:shd w:val="clear" w:color="auto" w:fill="auto"/>
                  <w:vAlign w:val="center"/>
                </w:tcPr>
                <w:p w14:paraId="68EA1F8F">
                  <w:pPr>
                    <w:pStyle w:val="3"/>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运输物质</w:t>
                  </w:r>
                </w:p>
              </w:tc>
              <w:tc>
                <w:tcPr>
                  <w:tcW w:w="1236" w:type="dxa"/>
                  <w:shd w:val="clear" w:color="auto" w:fill="auto"/>
                  <w:vAlign w:val="center"/>
                </w:tcPr>
                <w:p w14:paraId="77F0E255">
                  <w:pPr>
                    <w:pStyle w:val="3"/>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运输方向</w:t>
                  </w:r>
                </w:p>
              </w:tc>
              <w:tc>
                <w:tcPr>
                  <w:tcW w:w="1236" w:type="dxa"/>
                  <w:shd w:val="clear" w:color="auto" w:fill="auto"/>
                  <w:vAlign w:val="center"/>
                </w:tcPr>
                <w:p w14:paraId="493F8D4E">
                  <w:pPr>
                    <w:pStyle w:val="3"/>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组成细胞</w:t>
                  </w:r>
                </w:p>
              </w:tc>
            </w:tr>
            <w:tr w14:paraId="00C2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shd w:val="clear" w:color="auto" w:fill="auto"/>
                  <w:vAlign w:val="center"/>
                </w:tcPr>
                <w:p w14:paraId="324ABF67">
                  <w:pPr>
                    <w:pStyle w:val="3"/>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导管</w:t>
                  </w:r>
                </w:p>
              </w:tc>
              <w:tc>
                <w:tcPr>
                  <w:tcW w:w="1236" w:type="dxa"/>
                  <w:shd w:val="clear" w:color="auto" w:fill="auto"/>
                  <w:vAlign w:val="center"/>
                </w:tcPr>
                <w:p w14:paraId="41A00751">
                  <w:pPr>
                    <w:pStyle w:val="3"/>
                    <w:jc w:val="center"/>
                    <w:rPr>
                      <w:rFonts w:hint="eastAsia" w:ascii="宋体" w:hAnsi="宋体" w:eastAsia="宋体" w:cs="宋体"/>
                      <w:color w:val="000000" w:themeColor="text1"/>
                      <w:sz w:val="24"/>
                      <w:szCs w:val="24"/>
                      <w14:textFill>
                        <w14:solidFill>
                          <w14:schemeClr w14:val="tx1"/>
                        </w14:solidFill>
                      </w14:textFill>
                    </w:rPr>
                  </w:pPr>
                </w:p>
              </w:tc>
              <w:tc>
                <w:tcPr>
                  <w:tcW w:w="1236" w:type="dxa"/>
                  <w:shd w:val="clear" w:color="auto" w:fill="auto"/>
                  <w:vAlign w:val="center"/>
                </w:tcPr>
                <w:p w14:paraId="289073C9">
                  <w:pPr>
                    <w:pStyle w:val="3"/>
                    <w:jc w:val="center"/>
                    <w:rPr>
                      <w:rFonts w:hint="eastAsia" w:ascii="宋体" w:hAnsi="宋体" w:eastAsia="宋体" w:cs="宋体"/>
                      <w:color w:val="000000" w:themeColor="text1"/>
                      <w:sz w:val="24"/>
                      <w:szCs w:val="24"/>
                      <w14:textFill>
                        <w14:solidFill>
                          <w14:schemeClr w14:val="tx1"/>
                        </w14:solidFill>
                      </w14:textFill>
                    </w:rPr>
                  </w:pPr>
                </w:p>
              </w:tc>
              <w:tc>
                <w:tcPr>
                  <w:tcW w:w="1236" w:type="dxa"/>
                  <w:shd w:val="clear" w:color="auto" w:fill="auto"/>
                  <w:vAlign w:val="center"/>
                </w:tcPr>
                <w:p w14:paraId="5786A2EE">
                  <w:pPr>
                    <w:pStyle w:val="3"/>
                    <w:jc w:val="center"/>
                    <w:rPr>
                      <w:rFonts w:hint="eastAsia" w:ascii="宋体" w:hAnsi="宋体" w:eastAsia="宋体" w:cs="宋体"/>
                      <w:color w:val="000000" w:themeColor="text1"/>
                      <w:sz w:val="24"/>
                      <w:szCs w:val="24"/>
                      <w14:textFill>
                        <w14:solidFill>
                          <w14:schemeClr w14:val="tx1"/>
                        </w14:solidFill>
                      </w14:textFill>
                    </w:rPr>
                  </w:pPr>
                </w:p>
              </w:tc>
              <w:tc>
                <w:tcPr>
                  <w:tcW w:w="1236" w:type="dxa"/>
                  <w:shd w:val="clear" w:color="auto" w:fill="auto"/>
                  <w:vAlign w:val="center"/>
                </w:tcPr>
                <w:p w14:paraId="12E46478">
                  <w:pPr>
                    <w:pStyle w:val="3"/>
                    <w:jc w:val="center"/>
                    <w:rPr>
                      <w:rFonts w:hint="eastAsia" w:ascii="宋体" w:hAnsi="宋体" w:eastAsia="宋体" w:cs="宋体"/>
                      <w:color w:val="000000" w:themeColor="text1"/>
                      <w:sz w:val="24"/>
                      <w:szCs w:val="24"/>
                      <w14:textFill>
                        <w14:solidFill>
                          <w14:schemeClr w14:val="tx1"/>
                        </w14:solidFill>
                      </w14:textFill>
                    </w:rPr>
                  </w:pPr>
                </w:p>
              </w:tc>
            </w:tr>
            <w:tr w14:paraId="2D55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shd w:val="clear" w:color="auto" w:fill="auto"/>
                  <w:vAlign w:val="center"/>
                </w:tcPr>
                <w:p w14:paraId="5D05A098">
                  <w:pPr>
                    <w:pStyle w:val="3"/>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筛管</w:t>
                  </w:r>
                </w:p>
              </w:tc>
              <w:tc>
                <w:tcPr>
                  <w:tcW w:w="1236" w:type="dxa"/>
                  <w:shd w:val="clear" w:color="auto" w:fill="auto"/>
                  <w:vAlign w:val="center"/>
                </w:tcPr>
                <w:p w14:paraId="7758542D">
                  <w:pPr>
                    <w:pStyle w:val="3"/>
                    <w:jc w:val="center"/>
                    <w:rPr>
                      <w:rFonts w:hint="eastAsia" w:ascii="宋体" w:hAnsi="宋体" w:eastAsia="宋体" w:cs="宋体"/>
                      <w:color w:val="000000" w:themeColor="text1"/>
                      <w:sz w:val="24"/>
                      <w:szCs w:val="24"/>
                      <w14:textFill>
                        <w14:solidFill>
                          <w14:schemeClr w14:val="tx1"/>
                        </w14:solidFill>
                      </w14:textFill>
                    </w:rPr>
                  </w:pPr>
                </w:p>
              </w:tc>
              <w:tc>
                <w:tcPr>
                  <w:tcW w:w="1236" w:type="dxa"/>
                  <w:shd w:val="clear" w:color="auto" w:fill="auto"/>
                  <w:vAlign w:val="center"/>
                </w:tcPr>
                <w:p w14:paraId="2B0390C1">
                  <w:pPr>
                    <w:pStyle w:val="3"/>
                    <w:jc w:val="center"/>
                    <w:rPr>
                      <w:rFonts w:hint="eastAsia" w:ascii="宋体" w:hAnsi="宋体" w:eastAsia="宋体" w:cs="宋体"/>
                      <w:color w:val="000000" w:themeColor="text1"/>
                      <w:sz w:val="24"/>
                      <w:szCs w:val="24"/>
                      <w14:textFill>
                        <w14:solidFill>
                          <w14:schemeClr w14:val="tx1"/>
                        </w14:solidFill>
                      </w14:textFill>
                    </w:rPr>
                  </w:pPr>
                </w:p>
              </w:tc>
              <w:tc>
                <w:tcPr>
                  <w:tcW w:w="1236" w:type="dxa"/>
                  <w:shd w:val="clear" w:color="auto" w:fill="auto"/>
                  <w:vAlign w:val="center"/>
                </w:tcPr>
                <w:p w14:paraId="6BD37394">
                  <w:pPr>
                    <w:pStyle w:val="3"/>
                    <w:jc w:val="center"/>
                    <w:rPr>
                      <w:rFonts w:hint="eastAsia" w:ascii="宋体" w:hAnsi="宋体" w:eastAsia="宋体" w:cs="宋体"/>
                      <w:color w:val="000000" w:themeColor="text1"/>
                      <w:sz w:val="24"/>
                      <w:szCs w:val="24"/>
                      <w14:textFill>
                        <w14:solidFill>
                          <w14:schemeClr w14:val="tx1"/>
                        </w14:solidFill>
                      </w14:textFill>
                    </w:rPr>
                  </w:pPr>
                </w:p>
              </w:tc>
              <w:tc>
                <w:tcPr>
                  <w:tcW w:w="1236" w:type="dxa"/>
                  <w:shd w:val="clear" w:color="auto" w:fill="auto"/>
                  <w:vAlign w:val="center"/>
                </w:tcPr>
                <w:p w14:paraId="325AB160">
                  <w:pPr>
                    <w:pStyle w:val="3"/>
                    <w:jc w:val="center"/>
                    <w:rPr>
                      <w:rFonts w:hint="eastAsia" w:ascii="宋体" w:hAnsi="宋体" w:eastAsia="宋体" w:cs="宋体"/>
                      <w:color w:val="000000" w:themeColor="text1"/>
                      <w:sz w:val="24"/>
                      <w:szCs w:val="24"/>
                      <w14:textFill>
                        <w14:solidFill>
                          <w14:schemeClr w14:val="tx1"/>
                        </w14:solidFill>
                      </w14:textFill>
                    </w:rPr>
                  </w:pPr>
                </w:p>
              </w:tc>
            </w:tr>
          </w:tbl>
          <w:p w14:paraId="2A382C30">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color w:val="000000" w:themeColor="text1"/>
                <w:sz w:val="24"/>
                <w:szCs w:val="24"/>
                <w:lang w:val="en-US" w:eastAsia="zh-CN"/>
                <w14:textFill>
                  <w14:solidFill>
                    <w14:schemeClr w14:val="tx1"/>
                  </w14:solidFill>
                </w14:textFill>
              </w:rPr>
              <w:t>教师总结</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教师最后总结导管</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筛管</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lang w:val="en-US" w:eastAsia="zh-CN"/>
                <w14:textFill>
                  <w14:solidFill>
                    <w14:schemeClr w14:val="tx1"/>
                  </w14:solidFill>
                </w14:textFill>
              </w:rPr>
              <w:t>部位、运输物质、运输方向、组成细胞等。</w:t>
            </w:r>
          </w:p>
        </w:tc>
        <w:tc>
          <w:tcPr>
            <w:tcW w:w="3194" w:type="dxa"/>
            <w:noWrap w:val="0"/>
            <w:vAlign w:val="top"/>
          </w:tcPr>
          <w:p w14:paraId="386FCD84">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674F9EE2">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430AD65">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788944A7">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3CE79282">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2228B6A0">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7445212D">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思考，进入探究的学习氛围。</w:t>
            </w:r>
          </w:p>
          <w:p w14:paraId="2EF08FFB">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在老师的指导下，自己阅读教材。小组讨论思考多媒体示的问题。</w:t>
            </w:r>
          </w:p>
          <w:p w14:paraId="52A4056A">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50291A7B">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571B37B8">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643C896">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17D7382">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6847BB2B">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C535F46">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264D2802">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63BB8E48">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3787EA5E">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B9EB80E">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B1CA206">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F09D22F">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368AFD6">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6BCED4F">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78A87511">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26256020">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0AEC97DA">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4B0A8B0">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8149D84">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7960BCC">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认真思考，大胆猜测。</w:t>
            </w:r>
          </w:p>
          <w:p w14:paraId="4F6CCBC8">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79FCB9F">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A4D2D52">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C8B31FB">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99B000B">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237C35D0">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6E95A580">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BCC4CDD">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41E6F85E">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3E70EACD">
            <w:pPr>
              <w:keepNext w:val="0"/>
              <w:keepLines/>
              <w:pageBreakBefore w:val="0"/>
              <w:kinsoku/>
              <w:wordWrap/>
              <w:overflowPunct/>
              <w:topLinePunct w:val="0"/>
              <w:autoSpaceDE/>
              <w:autoSpaceDN/>
              <w:bidi w:val="0"/>
              <w:spacing w:beforeAutospacing="0" w:afterAutospacing="0" w:line="240" w:lineRule="auto"/>
              <w:ind w:left="0" w:firstLine="0" w:firstLineChars="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思考</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小组代表积极发言，</w:t>
            </w:r>
            <w:r>
              <w:rPr>
                <w:rFonts w:hint="eastAsia" w:ascii="宋体" w:hAnsi="宋体" w:eastAsia="宋体" w:cs="宋体"/>
                <w:color w:val="000000" w:themeColor="text1"/>
                <w:sz w:val="24"/>
                <w:szCs w:val="24"/>
                <w:lang w:val="en-US" w:eastAsia="zh-CN"/>
                <w14:textFill>
                  <w14:solidFill>
                    <w14:schemeClr w14:val="tx1"/>
                  </w14:solidFill>
                </w14:textFill>
              </w:rPr>
              <w:t>完成表格练习</w:t>
            </w:r>
            <w:r>
              <w:rPr>
                <w:rFonts w:hint="eastAsia" w:ascii="宋体" w:hAnsi="宋体" w:eastAsia="宋体" w:cs="宋体"/>
                <w:color w:val="000000" w:themeColor="text1"/>
                <w:sz w:val="24"/>
                <w:szCs w:val="24"/>
                <w:lang w:eastAsia="zh-CN"/>
                <w14:textFill>
                  <w14:solidFill>
                    <w14:schemeClr w14:val="tx1"/>
                  </w14:solidFill>
                </w14:textFill>
              </w:rPr>
              <w:t>。</w:t>
            </w:r>
          </w:p>
          <w:p w14:paraId="0D84EE90">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tc>
      </w:tr>
      <w:tr w14:paraId="6790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noWrap w:val="0"/>
            <w:vAlign w:val="top"/>
          </w:tcPr>
          <w:p w14:paraId="295B55B6">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课堂小结</w:t>
            </w:r>
          </w:p>
        </w:tc>
        <w:tc>
          <w:tcPr>
            <w:tcW w:w="4895" w:type="dxa"/>
            <w:noWrap w:val="0"/>
            <w:vAlign w:val="top"/>
          </w:tcPr>
          <w:p w14:paraId="73F41998">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以上就是本堂课的全部内容。（结合板书，梳理总结）</w:t>
            </w:r>
          </w:p>
        </w:tc>
        <w:tc>
          <w:tcPr>
            <w:tcW w:w="3194" w:type="dxa"/>
            <w:noWrap w:val="0"/>
            <w:vAlign w:val="top"/>
          </w:tcPr>
          <w:p w14:paraId="209B09A5">
            <w:pPr>
              <w:keepNext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p>
        </w:tc>
      </w:tr>
    </w:tbl>
    <w:p w14:paraId="398B8AAB">
      <w:pPr>
        <w:pStyle w:val="10"/>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板书设计</w:t>
      </w:r>
    </w:p>
    <w:p w14:paraId="5CE28AE7">
      <w:pPr>
        <w:pStyle w:val="3"/>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sz w:val="24"/>
          <w:szCs w:val="24"/>
          <w:lang w:val="en-US" w:eastAsia="zh-CN"/>
        </w:rPr>
      </w:pPr>
      <w:r>
        <w:rPr>
          <w:position w:val="-52"/>
        </w:rPr>
        <w:object>
          <v:shape id="_x0000_i1025" o:spt="75" type="#_x0000_t75" style="height:58pt;width:319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14:paraId="1FC2919D">
      <w:pPr>
        <w:pStyle w:val="3"/>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教学反思</w:t>
      </w:r>
    </w:p>
    <w:p w14:paraId="5BF6B16A">
      <w:pPr>
        <w:pStyle w:val="3"/>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本节教材通过观察和实验认识到水和无机盐是通过木质部中导管运输的，有机物是通过韧皮部中筛管运输的，并辨认导管和筛管的结构特征。在设计本课时从学生的基础和需求出发，利用生活中的许多实例，充分调动学生的学习积极性，运用前面所学知识，主动解答新问题。</w:t>
      </w:r>
      <w:r>
        <w:rPr>
          <w:rFonts w:hint="eastAsia" w:ascii="宋体" w:hAnsi="宋体" w:eastAsia="宋体" w:cs="宋体"/>
          <w:bCs/>
          <w:kern w:val="0"/>
          <w:sz w:val="24"/>
          <w:szCs w:val="24"/>
        </w:rPr>
        <w:t>在教学过程中</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如</w:t>
      </w:r>
      <w:r>
        <w:rPr>
          <w:rFonts w:hint="eastAsia" w:ascii="宋体" w:hAnsi="宋体" w:eastAsia="宋体" w:cs="宋体"/>
          <w:bCs/>
          <w:kern w:val="0"/>
          <w:sz w:val="24"/>
          <w:szCs w:val="24"/>
          <w:lang w:val="en-US" w:eastAsia="zh-CN"/>
        </w:rPr>
        <w:t>果</w:t>
      </w:r>
      <w:r>
        <w:rPr>
          <w:rFonts w:hint="eastAsia" w:ascii="宋体" w:hAnsi="宋体" w:eastAsia="宋体" w:cs="宋体"/>
          <w:bCs/>
          <w:kern w:val="0"/>
          <w:sz w:val="24"/>
          <w:szCs w:val="24"/>
        </w:rPr>
        <w:t>课前小组学习微课后进行茎的结构的建模、小组讨论完成实验报告，预测实验结果，动手进行茎的解剖，各小组进行阐述、点评，在个人智慧和集体智慧的相互交流中完成“茎运输水和无机盐”实验探究</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那样效果就会更好。</w:t>
      </w:r>
    </w:p>
    <w:p w14:paraId="6595E79A">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sz w:val="24"/>
          <w:szCs w:val="24"/>
        </w:rPr>
      </w:pPr>
    </w:p>
    <w:p w14:paraId="7C7DEC41">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b/>
          <w:sz w:val="24"/>
          <w:szCs w:val="24"/>
        </w:rPr>
      </w:pPr>
      <w:r>
        <w:rPr>
          <w:rFonts w:hint="eastAsia" w:ascii="宋体" w:hAnsi="宋体" w:eastAsia="宋体" w:cs="宋体"/>
          <w:sz w:val="24"/>
          <w:szCs w:val="24"/>
        </w:rPr>
        <w:t xml:space="preserve">　　　　　　         </w:t>
      </w:r>
      <w:r>
        <w:rPr>
          <w:rFonts w:hint="eastAsia" w:ascii="宋体" w:hAnsi="宋体" w:eastAsia="宋体" w:cs="宋体"/>
          <w:b/>
          <w:sz w:val="24"/>
          <w:szCs w:val="24"/>
        </w:rPr>
        <w:t xml:space="preserve"> </w:t>
      </w:r>
    </w:p>
    <w:p w14:paraId="58E911BA">
      <w:pPr>
        <w:keepNext w:val="0"/>
        <w:pageBreakBefore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sz w:val="24"/>
          <w:szCs w:val="24"/>
        </w:rPr>
      </w:pPr>
    </w:p>
    <w:sectPr>
      <w:headerReference r:id="rId5" w:type="first"/>
      <w:footerReference r:id="rId7" w:type="first"/>
      <w:headerReference r:id="rId3" w:type="default"/>
      <w:headerReference r:id="rId4" w:type="even"/>
      <w:footerReference r:id="rId6"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C01A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51974">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A60CE">
    <w:pPr>
      <w:pBdr>
        <w:bottom w:val="single" w:color="auto" w:sz="6" w:space="1"/>
      </w:pBdr>
      <w:adjustRightInd w:val="0"/>
      <w:snapToGrid w:val="0"/>
      <w:spacing w:after="200"/>
      <w:jc w:val="center"/>
      <w:rPr>
        <w:rFonts w:ascii="Tahoma" w:hAnsi="Tahoma" w:eastAsia="微软雅黑" w:cs="Times New Roman"/>
        <w:sz w:val="18"/>
        <w:szCs w:val="18"/>
        <w:lang w:val="en-US" w:eastAsia="zh-CN" w:bidi="ar-SA"/>
      </w:rPr>
    </w:pPr>
    <w:r>
      <w:rPr>
        <w:rFonts w:hint="eastAsia" w:ascii="Tahoma" w:hAnsi="Tahoma" w:eastAsia="微软雅黑" w:cs="Times New Roman"/>
        <w:sz w:val="18"/>
        <w:szCs w:val="18"/>
        <w:lang w:val="en-US" w:eastAsia="zh-CN" w:bidi="ar-SA"/>
      </w:rPr>
      <w:t>梯田文化    教辅专家                               《课堂点睛》 《课堂内外》 《中考新航线》</w:t>
    </w:r>
  </w:p>
  <w:p w14:paraId="3685E0D9">
    <w:pPr>
      <w:pStyle w:val="5"/>
      <w:pBdr>
        <w:bottom w:val="none" w:color="auto" w:sz="0" w:space="0"/>
      </w:pBdr>
      <w:tabs>
        <w:tab w:val="left" w:pos="7734"/>
      </w:tabs>
      <w:jc w:val="left"/>
      <w:rPr>
        <w:rFonts w:hint="eastAsia" w:eastAsia="宋体"/>
        <w:lang w:eastAsia="zh-CN"/>
      </w:rPr>
    </w:pPr>
    <w:r>
      <w:rPr>
        <w:rFonts w:hint="eastAsia"/>
        <w:lang w:eastAsia="zh-CN"/>
      </w:rPr>
      <w:tab/>
      <w:t/>
    </w: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61B5F">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1E519">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5140E1"/>
    <w:rsid w:val="00041934"/>
    <w:rsid w:val="000F0B2F"/>
    <w:rsid w:val="00152B8C"/>
    <w:rsid w:val="001A495E"/>
    <w:rsid w:val="00203A3E"/>
    <w:rsid w:val="00250932"/>
    <w:rsid w:val="0027495E"/>
    <w:rsid w:val="003A6EF8"/>
    <w:rsid w:val="003D45F3"/>
    <w:rsid w:val="003F7D72"/>
    <w:rsid w:val="005140E1"/>
    <w:rsid w:val="00594339"/>
    <w:rsid w:val="00630FC3"/>
    <w:rsid w:val="0068795B"/>
    <w:rsid w:val="006F3DF0"/>
    <w:rsid w:val="007F1BA5"/>
    <w:rsid w:val="007F6F1E"/>
    <w:rsid w:val="008110EC"/>
    <w:rsid w:val="00836AC6"/>
    <w:rsid w:val="009A4707"/>
    <w:rsid w:val="009F17CF"/>
    <w:rsid w:val="009F3BA1"/>
    <w:rsid w:val="00AF18CD"/>
    <w:rsid w:val="00B27716"/>
    <w:rsid w:val="00B30273"/>
    <w:rsid w:val="00CC5EBD"/>
    <w:rsid w:val="00CE0012"/>
    <w:rsid w:val="00D169E8"/>
    <w:rsid w:val="00DD5214"/>
    <w:rsid w:val="00DD5482"/>
    <w:rsid w:val="00E06A9B"/>
    <w:rsid w:val="00E33D49"/>
    <w:rsid w:val="00E723D5"/>
    <w:rsid w:val="00EB3C03"/>
    <w:rsid w:val="00EF4D1C"/>
    <w:rsid w:val="00F04A65"/>
    <w:rsid w:val="02EE2E22"/>
    <w:rsid w:val="0332621A"/>
    <w:rsid w:val="17586BEC"/>
    <w:rsid w:val="18842F6C"/>
    <w:rsid w:val="22274572"/>
    <w:rsid w:val="29D40572"/>
    <w:rsid w:val="2A481669"/>
    <w:rsid w:val="31E37A73"/>
    <w:rsid w:val="34422459"/>
    <w:rsid w:val="4A483F7F"/>
    <w:rsid w:val="60D20D76"/>
    <w:rsid w:val="647552E3"/>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1609</Words>
  <Characters>1623</Characters>
  <Lines>18</Lines>
  <Paragraphs>5</Paragraphs>
  <TotalTime>0</TotalTime>
  <ScaleCrop>false</ScaleCrop>
  <LinksUpToDate>false</LinksUpToDate>
  <CharactersWithSpaces>1656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2022-06-23T10:11:00Z</dcterms:created>
  <dc:creator>状元成才路</dc:creator>
  <cp:lastModifiedBy>唐唐唐小糖1</cp:lastModifiedBy>
  <cp:lastPrinted>2113-01-01T00:00:00Z</cp:lastPrinted>
  <dcterms:modified xsi:type="dcterms:W3CDTF">2024-10-17T08:10:36Z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DBBB35BCA08B4567BEF05D0F4EC70C8C_12</vt:lpwstr>
  </property>
</Properties>
</file>